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rPr>
          <w:rFonts w:ascii="方正黑体_GBK" w:eastAsia="方正黑体_GBK" w:cs="方正小标宋_GBK" w:hint="eastAsia"/>
          <w:color w:val="000000"/>
          <w:sz w:val="32"/>
          <w:szCs w:val="32"/>
          <w:shd w:val="clear" w:color="auto" w:fill="auto"/>
        </w:rPr>
      </w:pPr>
      <w:bookmarkStart w:id="0" w:name="_GoBack"/>
      <w:bookmarkEnd w:id="0"/>
      <w:r>
        <w:rPr>
          <w:rFonts w:ascii="方正黑体_GBK" w:eastAsia="方正黑体_GBK" w:cs="方正小标宋_GBK" w:hAnsi="黑体" w:hint="eastAsia"/>
          <w:color w:val="000000"/>
          <w:sz w:val="32"/>
          <w:szCs w:val="32"/>
          <w:shd w:val="clear" w:color="auto" w:fill="auto"/>
        </w:rPr>
        <w:t>附件</w:t>
      </w:r>
      <w:r>
        <w:rPr>
          <w:rFonts w:ascii="方正黑体_GBK" w:eastAsia="方正黑体_GBK" w:cs="方正小标宋_GBK" w:hint="eastAsia"/>
          <w:color w:val="000000"/>
          <w:sz w:val="32"/>
          <w:szCs w:val="32"/>
          <w:shd w:val="clear" w:color="auto" w:fill="auto"/>
        </w:rPr>
        <w:t>2</w:t>
      </w:r>
      <w:r>
        <w:rPr>
          <w:rFonts w:ascii="方正黑体_GBK" w:eastAsia="方正黑体_GBK" w:cs="方正小标宋_GBK" w:hAnsi="黑体" w:hint="eastAsia"/>
          <w:color w:val="000000"/>
          <w:sz w:val="32"/>
          <w:szCs w:val="32"/>
          <w:shd w:val="clear" w:color="auto" w:fill="auto"/>
        </w:rPr>
        <w:t>-附表</w:t>
      </w:r>
      <w:r>
        <w:rPr>
          <w:rFonts w:ascii="方正黑体_GBK" w:eastAsia="方正黑体_GBK" w:cs="方正小标宋_GBK" w:hint="eastAsia"/>
          <w:color w:val="000000"/>
          <w:sz w:val="32"/>
          <w:szCs w:val="32"/>
          <w:shd w:val="clear" w:color="auto" w:fill="auto"/>
        </w:rPr>
        <w:t>3</w:t>
      </w:r>
    </w:p>
    <w:p>
      <w:pPr>
        <w:spacing w:line="560" w:lineRule="exact"/>
        <w:rPr>
          <w:rFonts w:eastAsia="方正黑体_GBK"/>
          <w:color w:val="000000"/>
          <w:sz w:val="32"/>
          <w:szCs w:val="32"/>
          <w:shd w:val="clear" w:color="auto" w:fill="auto"/>
        </w:rPr>
      </w:pPr>
      <w:r>
        <w:rPr>
          <w:rFonts w:eastAsia="方正黑体_GBK"/>
          <w:color w:val="000000"/>
          <w:sz w:val="32"/>
          <w:szCs w:val="32"/>
          <w:shd w:val="clear" w:color="auto" w:fill="auto"/>
        </w:rPr>
        <w:t>Annex 2-Appendix 3</w:t>
      </w:r>
    </w:p>
    <w:p>
      <w:pPr>
        <w:pStyle w:val="20"/>
        <w:spacing w:line="560" w:lineRule="exact"/>
        <w:jc w:val="left"/>
        <w:rPr>
          <w:rFonts w:ascii="黑体" w:eastAsia="黑体" w:cs="黑体" w:hAnsi="黑体" w:hint="eastAsia"/>
          <w:bCs/>
          <w:snapToGrid w:val="0"/>
          <w:szCs w:val="24"/>
          <w:lang w:bidi="ar-SA"/>
        </w:rPr>
      </w:pPr>
    </w:p>
    <w:p>
      <w:pPr>
        <w:pStyle w:val="20"/>
        <w:spacing w:line="560" w:lineRule="exact"/>
        <w:jc w:val="center"/>
        <w:rPr>
          <w:rFonts w:eastAsia="方正小标宋_GBK"/>
          <w:bCs/>
          <w:snapToGrid w:val="0"/>
          <w:kern w:val="0"/>
          <w:sz w:val="44"/>
          <w:szCs w:val="44"/>
        </w:rPr>
      </w:pPr>
      <w:r>
        <w:rPr>
          <w:rFonts w:eastAsia="方正小标宋_GBK"/>
          <w:bCs/>
          <w:snapToGrid w:val="0"/>
          <w:kern w:val="0"/>
          <w:sz w:val="44"/>
          <w:szCs w:val="44"/>
        </w:rPr>
        <w:t>2026年第二十六届中国国际投资贸易洽谈会检验检疫禁止清单</w:t>
      </w:r>
    </w:p>
    <w:p>
      <w:pPr>
        <w:pStyle w:val="20"/>
        <w:spacing w:line="560" w:lineRule="exact"/>
        <w:jc w:val="center"/>
        <w:rPr>
          <w:rFonts w:eastAsia="方正小标宋_GBK"/>
          <w:sz w:val="44"/>
          <w:szCs w:val="44"/>
        </w:rPr>
      </w:pPr>
      <w:r>
        <w:rPr>
          <w:sz w:val="44"/>
        </w:rPr>
        <w:t>26th CIFIT 2026 Inspection and Quarantine Prohibited Items List</w:t>
      </w:r>
    </w:p>
    <w:tbl>
      <w:tblPr>
        <w:jc w:val="center"/>
        <w:tblW w:w="1503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974"/>
        <w:gridCol w:w="5280"/>
        <w:gridCol w:w="1695"/>
        <w:gridCol w:w="7086"/>
      </w:tblGrid>
      <w:tr>
        <w:trPr>
          <w:trHeight w:val="680"/>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pPr>
              <w:pStyle w:val="21"/>
              <w:widowControl/>
              <w:spacing w:line="560" w:lineRule="exact"/>
              <w:jc w:val="center"/>
              <w:rPr>
                <w:rFonts w:ascii="方正黑体_GBK" w:eastAsia="方正黑体_GBK" w:cs="方正黑体_GBK"/>
                <w:kern w:val="0"/>
                <w:sz w:val="32"/>
                <w:szCs w:val="32"/>
              </w:rPr>
            </w:pPr>
            <w:r>
              <w:rPr>
                <w:rFonts w:ascii="方正黑体_GBK" w:eastAsia="方正黑体_GBK" w:cs="方正黑体_GBK" w:hint="eastAsia"/>
                <w:kern w:val="0"/>
                <w:sz w:val="32"/>
                <w:szCs w:val="32"/>
              </w:rPr>
              <w:t>序号</w:t>
            </w:r>
          </w:p>
          <w:p>
            <w:pPr>
              <w:pStyle w:val="21"/>
              <w:widowControl/>
              <w:spacing w:line="560" w:lineRule="exact"/>
              <w:jc w:val="center"/>
              <w:rPr>
                <w:rFonts w:ascii="Times New Roman" w:eastAsia="方正黑体_GBK" w:cs="Times New Roman" w:hAnsi="Times New Roman"/>
                <w:kern w:val="0"/>
                <w:sz w:val="32"/>
                <w:szCs w:val="32"/>
              </w:rPr>
            </w:pPr>
            <w:r>
              <w:rPr>
                <w:rFonts w:ascii="Times New Roman" w:eastAsia="方正黑体_GBK" w:cs="Times New Roman" w:hAnsi="Times New Roman"/>
                <w:kern w:val="0"/>
                <w:sz w:val="32"/>
                <w:szCs w:val="32"/>
              </w:rPr>
              <w:t>No.</w:t>
            </w:r>
          </w:p>
        </w:tc>
        <w:tc>
          <w:tcPr>
            <w:tcW w:w="5280" w:type="dxa"/>
            <w:tcBorders>
              <w:top w:val="single" w:sz="4" w:space="0" w:color="auto"/>
              <w:left w:val="nil"/>
              <w:bottom w:val="single" w:sz="4" w:space="0" w:color="auto"/>
              <w:right w:val="single" w:sz="4" w:space="0" w:color="auto"/>
            </w:tcBorders>
            <w:shd w:val="clear" w:color="auto" w:fill="auto"/>
            <w:vAlign w:val="center"/>
          </w:tcPr>
          <w:p>
            <w:pPr>
              <w:pStyle w:val="22"/>
              <w:widowControl/>
              <w:spacing w:line="560" w:lineRule="exact"/>
              <w:jc w:val="center"/>
              <w:rPr>
                <w:rFonts w:ascii="方正黑体_GBK" w:eastAsia="方正黑体_GBK" w:cs="方正黑体_GBK"/>
                <w:kern w:val="0"/>
                <w:sz w:val="32"/>
                <w:szCs w:val="32"/>
              </w:rPr>
            </w:pPr>
            <w:r>
              <w:rPr>
                <w:rFonts w:ascii="方正黑体_GBK" w:eastAsia="方正黑体_GBK" w:cs="方正黑体_GBK" w:hint="eastAsia"/>
                <w:kern w:val="0"/>
                <w:sz w:val="32"/>
                <w:szCs w:val="32"/>
              </w:rPr>
              <w:t>禁止内容</w:t>
            </w:r>
          </w:p>
          <w:p>
            <w:pPr>
              <w:pStyle w:val="22"/>
              <w:widowControl/>
              <w:spacing w:line="560" w:lineRule="exact"/>
              <w:jc w:val="center"/>
              <w:rPr>
                <w:rFonts w:ascii="Times New Roman" w:eastAsia="方正黑体_GBK" w:cs="Times New Roman" w:hAnsi="Times New Roman"/>
                <w:kern w:val="0"/>
                <w:sz w:val="32"/>
                <w:szCs w:val="32"/>
              </w:rPr>
            </w:pPr>
            <w:r>
              <w:rPr>
                <w:rFonts w:ascii="Times New Roman" w:eastAsia="方正黑体_GBK" w:cs="Times New Roman" w:hAnsi="Times New Roman"/>
                <w:kern w:val="0"/>
                <w:sz w:val="32"/>
                <w:szCs w:val="32"/>
              </w:rPr>
              <w:t>Prohibited Content</w:t>
            </w:r>
          </w:p>
        </w:tc>
        <w:tc>
          <w:tcPr>
            <w:tcW w:w="1695" w:type="dxa"/>
            <w:tcBorders>
              <w:top w:val="single" w:sz="4" w:space="0" w:color="auto"/>
              <w:left w:val="nil"/>
              <w:bottom w:val="single" w:sz="4" w:space="0" w:color="auto"/>
              <w:right w:val="single" w:sz="4" w:space="0" w:color="auto"/>
            </w:tcBorders>
            <w:shd w:val="clear" w:color="auto" w:fill="auto"/>
            <w:vAlign w:val="center"/>
          </w:tcPr>
          <w:p>
            <w:pPr>
              <w:pStyle w:val="23"/>
              <w:widowControl/>
              <w:spacing w:line="560" w:lineRule="exact"/>
              <w:jc w:val="center"/>
              <w:rPr>
                <w:rFonts w:ascii="方正黑体_GBK" w:eastAsia="方正黑体_GBK" w:cs="方正黑体_GBK"/>
                <w:kern w:val="0"/>
                <w:sz w:val="32"/>
                <w:szCs w:val="32"/>
              </w:rPr>
            </w:pPr>
            <w:r>
              <w:rPr>
                <w:rFonts w:ascii="方正黑体_GBK" w:eastAsia="方正黑体_GBK" w:cs="方正黑体_GBK" w:hint="eastAsia"/>
                <w:kern w:val="0"/>
                <w:sz w:val="32"/>
                <w:szCs w:val="32"/>
              </w:rPr>
              <w:t>禁止类别</w:t>
            </w:r>
          </w:p>
          <w:p>
            <w:pPr>
              <w:pStyle w:val="23"/>
              <w:widowControl/>
              <w:spacing w:line="560" w:lineRule="exact"/>
              <w:jc w:val="center"/>
              <w:rPr>
                <w:rFonts w:ascii="Times New Roman" w:eastAsia="方正黑体_GBK" w:cs="Times New Roman" w:hAnsi="Times New Roman"/>
                <w:kern w:val="0"/>
                <w:sz w:val="32"/>
                <w:szCs w:val="32"/>
              </w:rPr>
            </w:pPr>
            <w:r>
              <w:rPr>
                <w:rFonts w:ascii="Times New Roman" w:eastAsia="方正黑体_GBK" w:cs="Times New Roman" w:hAnsi="Times New Roman"/>
                <w:kern w:val="0"/>
                <w:sz w:val="32"/>
                <w:szCs w:val="32"/>
              </w:rPr>
              <w:t>Prohibition Category</w:t>
            </w:r>
          </w:p>
        </w:tc>
        <w:tc>
          <w:tcPr>
            <w:tcW w:w="7086" w:type="dxa"/>
            <w:tcBorders>
              <w:top w:val="single" w:sz="4" w:space="0" w:color="auto"/>
              <w:left w:val="nil"/>
              <w:bottom w:val="single" w:sz="4" w:space="0" w:color="auto"/>
              <w:right w:val="single" w:sz="4" w:space="0" w:color="auto"/>
            </w:tcBorders>
            <w:shd w:val="clear" w:color="auto" w:fill="auto"/>
            <w:vAlign w:val="center"/>
          </w:tcPr>
          <w:p>
            <w:pPr>
              <w:pStyle w:val="24"/>
              <w:widowControl/>
              <w:spacing w:line="560" w:lineRule="exact"/>
              <w:jc w:val="center"/>
              <w:rPr>
                <w:rFonts w:ascii="方正黑体_GBK" w:eastAsia="方正黑体_GBK" w:cs="方正黑体_GBK"/>
                <w:kern w:val="0"/>
                <w:sz w:val="32"/>
                <w:szCs w:val="32"/>
              </w:rPr>
            </w:pPr>
            <w:r>
              <w:rPr>
                <w:rFonts w:ascii="方正黑体_GBK" w:eastAsia="方正黑体_GBK" w:cs="方正黑体_GBK" w:hint="eastAsia"/>
                <w:kern w:val="0"/>
                <w:sz w:val="32"/>
                <w:szCs w:val="32"/>
              </w:rPr>
              <w:t>备注</w:t>
            </w:r>
          </w:p>
          <w:p>
            <w:pPr>
              <w:pStyle w:val="24"/>
              <w:widowControl/>
              <w:spacing w:line="560" w:lineRule="exact"/>
              <w:jc w:val="center"/>
              <w:rPr>
                <w:rFonts w:ascii="Times New Roman" w:eastAsia="方正黑体_GBK" w:cs="Times New Roman" w:hAnsi="Times New Roman"/>
                <w:kern w:val="0"/>
                <w:sz w:val="32"/>
                <w:szCs w:val="32"/>
              </w:rPr>
            </w:pPr>
            <w:r>
              <w:rPr>
                <w:rFonts w:ascii="Times New Roman" w:eastAsia="方正黑体_GBK" w:cs="Times New Roman" w:hAnsi="Times New Roman"/>
                <w:kern w:val="0"/>
                <w:sz w:val="32"/>
                <w:szCs w:val="32"/>
              </w:rPr>
              <w:t>Remarks</w:t>
            </w:r>
          </w:p>
        </w:tc>
      </w:tr>
      <w:tr>
        <w:trPr>
          <w:trHeight w:val="1499"/>
        </w:trPr>
        <w:tc>
          <w:tcPr>
            <w:tcW w:w="974" w:type="dxa"/>
            <w:tcBorders>
              <w:top w:val="nil"/>
              <w:left w:val="single" w:sz="4" w:space="0" w:color="auto"/>
              <w:bottom w:val="single" w:sz="4" w:space="0" w:color="auto"/>
              <w:right w:val="single" w:sz="4" w:space="0" w:color="auto"/>
            </w:tcBorders>
            <w:shd w:val="clear" w:color="auto" w:fill="auto"/>
            <w:vAlign w:val="center"/>
          </w:tcPr>
          <w:p>
            <w:pPr>
              <w:pStyle w:val="25"/>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1</w:t>
            </w:r>
          </w:p>
        </w:tc>
        <w:tc>
          <w:tcPr>
            <w:tcW w:w="5280" w:type="dxa"/>
            <w:tcBorders>
              <w:top w:val="nil"/>
              <w:left w:val="nil"/>
              <w:bottom w:val="single" w:sz="4" w:space="0" w:color="auto"/>
              <w:right w:val="single" w:sz="4" w:space="0" w:color="auto"/>
            </w:tcBorders>
            <w:shd w:val="clear" w:color="auto" w:fill="auto"/>
            <w:vAlign w:val="center"/>
          </w:tcPr>
          <w:p>
            <w:pPr>
              <w:pStyle w:val="26"/>
              <w:widowControl/>
              <w:spacing w:after="240"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《中华人民共和国进出境动植物检疫法》中规定的禁止进境物：</w:t>
            </w:r>
          </w:p>
          <w:p>
            <w:pPr>
              <w:pStyle w:val="26"/>
              <w:widowControl/>
              <w:spacing w:after="240"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 xml:space="preserve">Items prohibited under the </w:t>
            </w:r>
            <w:r>
              <w:rPr>
                <w:rFonts w:ascii="Times New Roman" w:eastAsia="方正仿宋_GBK" w:cs="Times New Roman" w:hAnsi="Times New Roman"/>
                <w:i/>
                <w:iCs/>
                <w:kern w:val="0"/>
                <w:sz w:val="32"/>
                <w:szCs w:val="32"/>
              </w:rPr>
              <w:t>Law of the People's Republic of China on the Entry and Exit Animal and Plant Quarantine</w:t>
            </w:r>
            <w:r>
              <w:rPr>
                <w:rFonts w:ascii="Times New Roman" w:eastAsia="方正仿宋_GBK" w:cs="Times New Roman" w:hAnsi="Times New Roman"/>
                <w:kern w:val="0"/>
                <w:sz w:val="32"/>
                <w:szCs w:val="32"/>
              </w:rPr>
              <w:t>:</w:t>
            </w:r>
          </w:p>
          <w:p>
            <w:pPr>
              <w:pStyle w:val="26"/>
              <w:widowControl/>
              <w:spacing w:after="240"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（一）动植物病原体（包括菌种、毒种等）、害虫及其他有害生物；</w:t>
            </w:r>
          </w:p>
          <w:p>
            <w:pPr>
              <w:pStyle w:val="26"/>
              <w:widowControl/>
              <w:spacing w:after="240" w:line="560" w:lineRule="exact"/>
              <w:ind w:left="0"/>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(i) Pathogenic agents for animals and plants (including bacterial strains, viral strains, etc.), pests and other harmful organisms;</w:t>
            </w:r>
          </w:p>
          <w:p>
            <w:pPr>
              <w:pStyle w:val="26"/>
              <w:widowControl/>
              <w:spacing w:after="240" w:line="560" w:lineRule="exact"/>
              <w:ind w:left="0"/>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（二）动植物疫情流行的国家和地区的有关动植物、动植物产品和其他检疫物；</w:t>
            </w:r>
          </w:p>
          <w:p>
            <w:pPr>
              <w:pStyle w:val="26"/>
              <w:widowControl/>
              <w:spacing w:after="240" w:line="560" w:lineRule="exact"/>
              <w:ind w:left="0"/>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(ii) Relevant animals, plants, animal/plant products and other quarantine objects from countries/regions affected by animal/plant epidemics;</w:t>
            </w:r>
          </w:p>
          <w:p>
            <w:pPr>
              <w:pStyle w:val="26"/>
              <w:widowControl/>
              <w:spacing w:after="240" w:line="560" w:lineRule="exact"/>
              <w:ind w:left="0"/>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（三）动物尸体；</w:t>
            </w:r>
          </w:p>
          <w:p>
            <w:pPr>
              <w:pStyle w:val="26"/>
              <w:widowControl/>
              <w:spacing w:after="240" w:line="560" w:lineRule="exact"/>
              <w:ind w:left="0"/>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(iii) Animal carcasses;</w:t>
            </w:r>
          </w:p>
          <w:p>
            <w:pPr>
              <w:pStyle w:val="26"/>
              <w:widowControl/>
              <w:spacing w:after="240" w:line="560" w:lineRule="exact"/>
              <w:ind w:left="0"/>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（四）土壤。</w:t>
            </w:r>
          </w:p>
          <w:p>
            <w:pPr>
              <w:pStyle w:val="26"/>
              <w:widowControl/>
              <w:spacing w:after="240" w:line="560" w:lineRule="exact"/>
              <w:ind w:left="0"/>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(iv) Soil.</w:t>
            </w:r>
          </w:p>
        </w:tc>
        <w:tc>
          <w:tcPr>
            <w:tcW w:w="1695" w:type="dxa"/>
            <w:tcBorders>
              <w:top w:val="nil"/>
              <w:left w:val="nil"/>
              <w:bottom w:val="single" w:sz="4" w:space="0" w:color="auto"/>
              <w:right w:val="single" w:sz="4" w:space="0" w:color="auto"/>
            </w:tcBorders>
            <w:shd w:val="clear" w:color="auto" w:fill="auto"/>
            <w:vAlign w:val="center"/>
          </w:tcPr>
          <w:p>
            <w:pPr>
              <w:pStyle w:val="27"/>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禁止进境</w:t>
            </w:r>
          </w:p>
          <w:p>
            <w:pPr>
              <w:pStyle w:val="27"/>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Prohibited from entry</w:t>
            </w:r>
          </w:p>
        </w:tc>
        <w:tc>
          <w:tcPr>
            <w:tcW w:w="7086" w:type="dxa"/>
            <w:tcBorders>
              <w:top w:val="nil"/>
              <w:left w:val="nil"/>
              <w:bottom w:val="single" w:sz="4" w:space="0" w:color="auto"/>
              <w:right w:val="single" w:sz="4" w:space="0" w:color="auto"/>
            </w:tcBorders>
            <w:shd w:val="clear" w:color="auto" w:fill="auto"/>
            <w:vAlign w:val="center"/>
          </w:tcPr>
          <w:p>
            <w:pPr>
              <w:pStyle w:val="41"/>
              <w:adjustRightInd w:val="0"/>
              <w:snapToGrid w:val="0"/>
              <w:spacing w:line="560" w:lineRule="exact"/>
              <w:rPr>
                <w:rFonts w:eastAsia="方正仿宋_GBK"/>
                <w:kern w:val="0"/>
              </w:rPr>
            </w:pPr>
            <w:r>
              <w:rPr>
                <w:rFonts w:eastAsia="方正仿宋_GBK"/>
                <w:kern w:val="0"/>
              </w:rPr>
              <w:t>详见官方网站：</w:t>
            </w:r>
          </w:p>
          <w:p>
            <w:pPr>
              <w:pStyle w:val="41"/>
              <w:adjustRightInd w:val="0"/>
              <w:snapToGrid w:val="0"/>
              <w:spacing w:line="560" w:lineRule="exact"/>
              <w:rPr>
                <w:rFonts w:eastAsia="方正仿宋_GBK"/>
                <w:kern w:val="0"/>
              </w:rPr>
            </w:pPr>
            <w:r>
              <w:t>Official references:</w:t>
            </w:r>
            <w:r>
              <w:rPr>
                <w:rFonts w:eastAsia="方正仿宋_GBK"/>
                <w:kern w:val="0"/>
              </w:rPr>
              <w:br/>
              <w:t>1.禁止从动物疫病流行国家地区输入的动物及其产品一览表</w:t>
            </w:r>
          </w:p>
          <w:p>
            <w:pPr>
              <w:pStyle w:val="41"/>
              <w:adjustRightInd w:val="0"/>
              <w:snapToGrid w:val="0"/>
              <w:spacing w:line="560" w:lineRule="exact"/>
              <w:rPr>
                <w:rFonts w:eastAsia="方正仿宋_GBK"/>
                <w:kern w:val="0"/>
              </w:rPr>
            </w:pPr>
            <w:r>
              <w:rPr>
                <w:rFonts w:eastAsia="方正仿宋_GBK"/>
                <w:kern w:val="0"/>
              </w:rPr>
              <w:t>1.List of Prohibited Inbound Animals and Their Products from Countries or Regions with Epidemic Animal Diseases</w:t>
            </w:r>
          </w:p>
          <w:p>
            <w:pPr>
              <w:pStyle w:val="46"/>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lang w:val="en-US" w:eastAsia="zh-CN"/>
              </w:rPr>
              <w:t>http://dzs.customs.gov.cn/dzs/2018-05/15/article_2025123119301285807.html</w:t>
            </w:r>
            <w:r>
              <w:rPr>
                <w:rFonts w:ascii="Times New Roman" w:eastAsia="方正仿宋_GBK" w:cs="Times New Roman" w:hAnsi="Times New Roman"/>
                <w:kern w:val="0"/>
                <w:sz w:val="32"/>
                <w:szCs w:val="32"/>
              </w:rPr>
              <w:br/>
              <w:t>2.中华人民共和国进境植物检疫禁止进境物名录</w:t>
            </w:r>
          </w:p>
          <w:p>
            <w:pPr>
              <w:pStyle w:val="46"/>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2.</w:t>
            </w:r>
            <w:r>
              <w:rPr>
                <w:rFonts w:ascii="Times New Roman" w:eastAsia="方正仿宋_GBK" w:cs="Times New Roman" w:hAnsi="Times New Roman"/>
                <w:i/>
                <w:iCs/>
                <w:kern w:val="0"/>
                <w:sz w:val="32"/>
                <w:szCs w:val="32"/>
              </w:rPr>
              <w:t xml:space="preserve"> </w:t>
            </w:r>
            <w:r>
              <w:rPr>
                <w:rFonts w:ascii="Times New Roman" w:eastAsia="方正仿宋_GBK" w:cs="Times New Roman" w:hAnsi="Times New Roman" w:hint="eastAsia"/>
                <w:kern w:val="0"/>
                <w:sz w:val="32"/>
                <w:szCs w:val="32"/>
              </w:rPr>
              <w:t>List of Plants Subject to Entry Prohibition under Plant Quarantine of the People’s Republic of China</w:t>
            </w:r>
          </w:p>
          <w:p>
            <w:pPr>
              <w:pStyle w:val="43"/>
              <w:adjustRightInd w:val="0"/>
              <w:snapToGrid w:val="0"/>
              <w:spacing w:line="560" w:lineRule="exact"/>
              <w:jc w:val="left"/>
              <w:rPr>
                <w:rFonts w:eastAsia="方正仿宋_GBK"/>
                <w:kern w:val="0"/>
              </w:rPr>
            </w:pPr>
            <w:r>
              <w:rPr>
                <w:rFonts w:eastAsia="方正仿宋_GBK"/>
                <w:kern w:val="0"/>
              </w:rPr>
              <w:t>3.《关于防止白蜡树枯梢病传入我国的公告》</w:t>
              <w:br/>
              <w:t>登录海关总署动植检司网站（http://dzs.customs.gov.cn），进入“动植物检疫要求和警示信息”即可查询</w:t>
            </w:r>
          </w:p>
          <w:p>
            <w:pPr>
              <w:pStyle w:val="43"/>
              <w:adjustRightInd w:val="0"/>
              <w:snapToGrid w:val="0"/>
              <w:spacing w:line="560" w:lineRule="exact"/>
              <w:jc w:val="left"/>
              <w:rPr>
                <w:rFonts w:eastAsia="方正仿宋_GBK"/>
                <w:kern w:val="0"/>
              </w:rPr>
            </w:pPr>
            <w:r>
              <w:t xml:space="preserve">3. </w:t>
            </w:r>
            <w:r>
              <w:rPr>
                <w:i/>
                <w:iCs/>
              </w:rPr>
              <w:t>Announcement on Preventing the Introduction of Ash Dieback Disease (Hymenoscyphus fraxineus) into China</w:t>
            </w:r>
            <w:r>
              <w:rPr>
                <w:sz w:val="24"/>
              </w:rPr>
              <w:br/>
            </w:r>
            <w:r>
              <w:rPr>
                <w:rFonts w:eastAsia="方正仿宋_GBK"/>
                <w:kern w:val="0"/>
              </w:rPr>
              <w:t>Log on to the website of the Department of Animal and Plant Quarantine of the General Administration of Customs (http://dzs.customs.gov.cn) and enter the "Animal and Plant Quarantine Requirements and Warning Information" section to query.</w:t>
            </w:r>
          </w:p>
        </w:tc>
      </w:tr>
      <w:tr>
        <w:trPr>
          <w:trHeight w:val="2869"/>
        </w:trPr>
        <w:tc>
          <w:tcPr>
            <w:tcW w:w="974" w:type="dxa"/>
            <w:tcBorders>
              <w:top w:val="nil"/>
              <w:left w:val="single" w:sz="4" w:space="0" w:color="auto"/>
              <w:bottom w:val="single" w:sz="4" w:space="0" w:color="auto"/>
              <w:right w:val="single" w:sz="4" w:space="0" w:color="auto"/>
            </w:tcBorders>
            <w:shd w:val="clear" w:color="auto" w:fill="auto"/>
            <w:vAlign w:val="center"/>
          </w:tcPr>
          <w:p>
            <w:pPr>
              <w:pStyle w:val="29"/>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2</w:t>
            </w:r>
          </w:p>
        </w:tc>
        <w:tc>
          <w:tcPr>
            <w:tcW w:w="5280" w:type="dxa"/>
            <w:tcBorders>
              <w:top w:val="nil"/>
              <w:left w:val="nil"/>
              <w:bottom w:val="single" w:sz="4" w:space="0" w:color="auto"/>
              <w:right w:val="single" w:sz="4" w:space="0" w:color="auto"/>
            </w:tcBorders>
            <w:shd w:val="clear" w:color="auto" w:fill="auto"/>
            <w:vAlign w:val="center"/>
          </w:tcPr>
          <w:p>
            <w:pPr>
              <w:pStyle w:val="44"/>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（一）来自日本福岛县、群马县、栃木县、茨城县、宫城县、新潟县（大米除外）、长野县、埼玉县、东京都、千叶县的食品、食用农产品和饲料(上述产地和涉及产品范围根据风险评估情况动态调整)；</w:t>
            </w:r>
          </w:p>
          <w:p>
            <w:pPr>
              <w:pStyle w:val="44"/>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(i) Food, edible agricultural products and feed from Fukushima, Gunma, Tochigi, Ibaraki, Miyagi, Niigata (except rice), Nagano, Saitama, Tokyo, and Chiba Prefectures, Japan (prohibited regions and products subject to dynamic adjustment based on risk assessment);</w:t>
            </w:r>
          </w:p>
          <w:p>
            <w:pPr>
              <w:pStyle w:val="44"/>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（二）来自日本的水产品。</w:t>
            </w:r>
          </w:p>
          <w:p>
            <w:pPr>
              <w:pStyle w:val="44"/>
              <w:widowControl/>
              <w:spacing w:line="560" w:lineRule="exact"/>
              <w:ind w:left="0"/>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(ii) Aquatic products from Japan</w:t>
            </w:r>
          </w:p>
          <w:p>
            <w:pPr>
              <w:pStyle w:val="44"/>
              <w:widowControl/>
              <w:spacing w:line="560" w:lineRule="exact"/>
              <w:rPr>
                <w:rFonts w:ascii="Times New Roman" w:eastAsia="方正仿宋_GBK" w:cs="Times New Roman" w:hAnsi="Times New Roman"/>
                <w:kern w:val="0"/>
                <w:sz w:val="32"/>
                <w:szCs w:val="32"/>
              </w:rPr>
            </w:pPr>
          </w:p>
        </w:tc>
        <w:tc>
          <w:tcPr>
            <w:tcW w:w="1695" w:type="dxa"/>
            <w:tcBorders>
              <w:top w:val="nil"/>
              <w:left w:val="nil"/>
              <w:bottom w:val="single" w:sz="4" w:space="0" w:color="auto"/>
              <w:right w:val="single" w:sz="4" w:space="0" w:color="auto"/>
            </w:tcBorders>
            <w:shd w:val="clear" w:color="auto" w:fill="auto"/>
            <w:vAlign w:val="center"/>
          </w:tcPr>
          <w:p>
            <w:pPr>
              <w:pStyle w:val="31"/>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禁止进境</w:t>
            </w:r>
          </w:p>
          <w:p>
            <w:pPr>
              <w:pStyle w:val="31"/>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Prohibited from entry</w:t>
            </w:r>
          </w:p>
        </w:tc>
        <w:tc>
          <w:tcPr>
            <w:tcW w:w="7086" w:type="dxa"/>
            <w:tcBorders>
              <w:top w:val="nil"/>
              <w:left w:val="nil"/>
              <w:bottom w:val="single" w:sz="4" w:space="0" w:color="auto"/>
              <w:right w:val="single" w:sz="4" w:space="0" w:color="auto"/>
            </w:tcBorders>
            <w:shd w:val="clear" w:color="auto" w:fill="auto"/>
            <w:vAlign w:val="center"/>
          </w:tcPr>
          <w:p>
            <w:pPr>
              <w:pStyle w:val="32"/>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依据《关于进一步加强从日本进口食品农产品检验检疫监管的公告》（原国家质检总局2011年第44号公告）和《关于调整日本输华食品农产品检验检疫措施的通知》（原国质检食函〔2011〕411号），非日本10个都县生产的食品、食用农产品和饲料应提供产品原产于非禁止清单列明地区的证明材料；其中蔬菜及其制品、乳及乳制品、水产品及水生动物、茶叶及制品、水果及制品、药用植物产品还应提供放射性物质检测合格证明</w:t>
            </w:r>
            <w:r>
              <w:rPr>
                <w:rFonts w:ascii="Times New Roman" w:eastAsia="方正仿宋_GBK" w:cs="Times New Roman" w:hAnsi="Times New Roman"/>
                <w:color w:val="FF0000"/>
                <w:kern w:val="0"/>
                <w:sz w:val="32"/>
                <w:szCs w:val="32"/>
              </w:rPr>
              <w:t>；</w:t>
            </w:r>
            <w:r>
              <w:rPr>
                <w:rFonts w:ascii="Times New Roman" w:eastAsia="方正仿宋_GBK" w:cs="Times New Roman" w:hAnsi="Times New Roman"/>
                <w:kern w:val="0"/>
                <w:sz w:val="32"/>
                <w:szCs w:val="32"/>
              </w:rPr>
              <w:t>2025年11月，我国通过外交途径向日方通报暂停进口日本水产品。</w:t>
            </w:r>
          </w:p>
          <w:p>
            <w:pPr>
              <w:pStyle w:val="32"/>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 xml:space="preserve">In accordance with the </w:t>
            </w:r>
            <w:r>
              <w:rPr>
                <w:rFonts w:ascii="Times New Roman" w:eastAsia="方正仿宋_GBK" w:cs="Times New Roman" w:hAnsi="Times New Roman"/>
                <w:i/>
                <w:iCs/>
                <w:kern w:val="0"/>
                <w:sz w:val="32"/>
                <w:szCs w:val="32"/>
              </w:rPr>
              <w:t>Announcement on Further Strengthening the Inspection and Quarantine Supervision of Food and Agricultural Products Imported from Japan</w:t>
            </w:r>
            <w:r>
              <w:rPr>
                <w:rFonts w:ascii="Times New Roman" w:eastAsia="方正仿宋_GBK" w:cs="Times New Roman" w:hAnsi="Times New Roman"/>
                <w:kern w:val="0"/>
                <w:sz w:val="32"/>
                <w:szCs w:val="32"/>
              </w:rPr>
              <w:t xml:space="preserve"> (Announcement No. 44 of the former General Administration of Quality Supervision, Inspection and Quarantine in 2011) and the </w:t>
            </w:r>
            <w:r>
              <w:rPr>
                <w:rFonts w:ascii="Times New Roman" w:eastAsia="方正仿宋_GBK" w:cs="Times New Roman" w:hAnsi="Times New Roman"/>
                <w:i/>
                <w:iCs/>
                <w:kern w:val="0"/>
                <w:sz w:val="32"/>
                <w:szCs w:val="32"/>
              </w:rPr>
              <w:t>Notice on Adjusting the Inspection and Quarantine Measures for Food and Agricultural Products Exported from Japan to China</w:t>
            </w:r>
            <w:r>
              <w:rPr>
                <w:rFonts w:ascii="Times New Roman" w:eastAsia="方正仿宋_GBK" w:cs="Times New Roman" w:hAnsi="Times New Roman"/>
                <w:kern w:val="0"/>
                <w:sz w:val="32"/>
                <w:szCs w:val="32"/>
              </w:rPr>
              <w:t xml:space="preserve"> (Letter No. 411 of the former General Administration of Quality Supervision, Inspection and Quarantine in 2011), food, edible agricultural products, and feed not produced in the 10 prefectures of Japan must be accompanied by proof of origin demonstrating that the products originate from areas not listed on the prohibited list. Among these, vegetables and their products, milk and dairy products, aquatic products and aquatic animals, tea and their products, fruits and their products, and medicinal plant products must also provide certificates of passing radioactive substance testing. In November 2025, China notified Japan through diplomatic channels of the suspension of imports of Japanese aquatic products.</w:t>
            </w:r>
          </w:p>
        </w:tc>
      </w:tr>
      <w:tr>
        <w:trPr>
          <w:trHeight w:val="2451"/>
        </w:trPr>
        <w:tc>
          <w:tcPr>
            <w:tcW w:w="974"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3"/>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3</w:t>
            </w:r>
          </w:p>
        </w:tc>
        <w:tc>
          <w:tcPr>
            <w:tcW w:w="5280"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4"/>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纳入禁止进口目录的旧机电产品、旧服装</w:t>
            </w:r>
          </w:p>
          <w:p>
            <w:pPr>
              <w:pStyle w:val="34"/>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 xml:space="preserve">Used mechanical/electrical products and used clothing listed in prohibited import catalogs </w:t>
            </w:r>
          </w:p>
        </w:tc>
        <w:tc>
          <w:tcPr>
            <w:tcW w:w="1695"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5"/>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禁止进境</w:t>
            </w:r>
          </w:p>
          <w:p>
            <w:pPr>
              <w:pStyle w:val="35"/>
              <w:widowControl/>
              <w:spacing w:line="560" w:lineRule="exact"/>
              <w:jc w:val="center"/>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Prohibited from entry</w:t>
            </w:r>
          </w:p>
        </w:tc>
        <w:tc>
          <w:tcPr>
            <w:tcW w:w="7086" w:type="dxa"/>
            <w:tcBorders>
              <w:top w:val="single" w:sz="4" w:space="0" w:color="auto"/>
              <w:left w:val="single" w:sz="4" w:space="0" w:color="auto"/>
              <w:bottom w:val="single" w:sz="4" w:space="0" w:color="auto"/>
              <w:right w:val="single" w:sz="4" w:space="0" w:color="auto"/>
            </w:tcBorders>
            <w:shd w:val="clear" w:color="auto" w:fill="auto"/>
            <w:vAlign w:val="center"/>
          </w:tcPr>
          <w:p>
            <w:pPr>
              <w:pStyle w:val="36"/>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详见官方网站：</w:t>
            </w:r>
          </w:p>
          <w:p>
            <w:pPr>
              <w:pStyle w:val="36"/>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Official references:</w:t>
              <w:br/>
              <w:t>1.禁止进口旧机电产品目录可向商务部查询</w:t>
            </w:r>
          </w:p>
          <w:p>
            <w:pPr>
              <w:pStyle w:val="36"/>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1. Prohibited Used Mechanical/Electrical Products Catalog can be consulted with the Ministry of Commerce of the People's Republic of China.</w:t>
            </w:r>
          </w:p>
          <w:p>
            <w:pPr>
              <w:pStyle w:val="36"/>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2.旧服装HS编码为6309000000</w:t>
            </w:r>
          </w:p>
          <w:p>
            <w:pPr>
              <w:pStyle w:val="36"/>
              <w:widowControl/>
              <w:spacing w:line="560" w:lineRule="exact"/>
              <w:rPr>
                <w:rFonts w:ascii="Times New Roman" w:eastAsia="方正仿宋_GBK" w:cs="Times New Roman" w:hAnsi="Times New Roman"/>
                <w:kern w:val="0"/>
                <w:sz w:val="32"/>
                <w:szCs w:val="32"/>
              </w:rPr>
            </w:pPr>
            <w:r>
              <w:rPr>
                <w:rFonts w:ascii="Times New Roman" w:eastAsia="方正仿宋_GBK" w:cs="Times New Roman" w:hAnsi="Times New Roman"/>
                <w:kern w:val="0"/>
                <w:sz w:val="32"/>
                <w:szCs w:val="32"/>
              </w:rPr>
              <w:t>2. HS code for used clothing: 6309000000.</w:t>
            </w:r>
          </w:p>
        </w:tc>
      </w:tr>
    </w:tbl>
    <w:p>
      <w:pPr>
        <w:spacing w:line="560" w:lineRule="exact"/>
        <w:rPr>
          <w:sz w:val="32"/>
          <w:szCs w:val="32"/>
        </w:rPr>
      </w:pPr>
    </w:p>
    <w:sectPr>
      <w:pgSz w:w="16840" w:h="11907" w:orient="landscape"/>
      <w:pgMar w:top="1588" w:right="2098" w:bottom="1474" w:left="1985" w:header="851" w:footer="992" w:gutter="0"/>
      <w:pgNumType w:fmt="numberInDash"/>
      <w:cols w:num="1" w:space="425"/>
      <w:docGrid w:type="lines" w:linePitch="312" w:charSpace="15965"/>
    </w:sectPr>
  </w:body>
</w:document>
</file>

<file path=word/fontTable.xml><?xml version="1.0" encoding="utf-8"?>
<w:fonts xmlns:w="http://schemas.openxmlformats.org/wordprocessingml/2006/main" xmlns:r="http://schemas.openxmlformats.org/officeDocument/2006/relationships">
  <w:font w:name="方正黑体_GBK">
    <w:panose1 w:val="02000000000000000000"/>
    <w:charset w:val="86"/>
    <w:family w:val="script"/>
    <w:pitch w:val="variable"/>
    <w:sig w:usb0="00000001" w:usb1="08000000" w:usb2="00000000" w:usb3="00000000" w:csb0="00040000" w:csb1="00000000"/>
  </w:font>
  <w:font w:name="方正小标宋_GBK">
    <w:panose1 w:val="02000000000000000000"/>
    <w:charset w:val="86"/>
    <w:family w:val="script"/>
    <w:pitch w:val="variable"/>
    <w:sig w:usb0="00000001" w:usb1="08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0"/>
    <w:family w:val="roman"/>
    <w:pitch w:val="variable"/>
    <w:sig w:usb0="20007A87" w:usb1="80000000" w:usb2="00000008" w:usb3="00000000" w:csb0="000001FF" w:csb1="00000000"/>
  </w:font>
  <w:font w:name="方正仿宋_GBK">
    <w:panose1 w:val="02000000000000000000"/>
    <w:charset w:val="86"/>
    <w:family w:val="script"/>
    <w:pitch w:val="variable"/>
    <w:sig w:usb0="00000001" w:usb1="08000000" w:usb2="00000000" w:usb3="00000000" w:csb0="00040000" w:csb1="00000000"/>
  </w:font>
  <w:font w:name="宋体">
    <w:panose1 w:val="02010600030101010101"/>
    <w:charset w:val="86"/>
    <w:family w:val="auto"/>
    <w:pitch w:val="variable"/>
    <w:sig w:usb0="00000003" w:usb1="080E0000" w:usb2="00000000" w:usb3="00000000" w:csb0="00040001" w:csb1="00000000"/>
  </w:font>
  <w:font w:name="Lucida Sans">
    <w:altName w:val="DejaVu Sans"/>
    <w:panose1 w:val="020B07030405040A0204"/>
    <w:charset w:val="00"/>
    <w:family w:val="auto"/>
    <w:pitch w:val="variable"/>
    <w:sig w:usb0="00000003" w:usb1="00000000" w:usb2="00000000" w:usb3="00000000" w:csb0="20000001" w:csb1="00000000"/>
  </w:font>
  <w:font w:name="方正兰亭黑_GBK">
    <w:altName w:val="黑体"/>
    <w:panose1 w:val="02000000000000000000"/>
    <w:charset w:val="86"/>
    <w:family w:val="script"/>
    <w:pitch w:val="variable"/>
    <w:sig w:usb0="00000000" w:usb1="00000000" w:usb2="00080016" w:usb3="00000000" w:csb0="00040001" w:csb1="00000000"/>
  </w:font>
  <w:font w:name="仿宋_GB2312">
    <w:altName w:val="仿宋"/>
    <w:panose1 w:val="02010609030101010101"/>
    <w:charset w:val="86"/>
    <w:family w:val="modern"/>
    <w:pitch w:val="variable"/>
    <w:sig w:usb0="00000001" w:usb1="080E0000" w:usb2="0000000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5"/>
  <w:doNotDisplayPageBoundaries/>
  <w:displayBackgroundShape/>
  <w:bordersDoNotSurroundHeader/>
  <w:bordersDoNotSurroundFooter/>
  <w:defaultTabStop w:val="0"/>
  <w:drawingGridHorizontalSpacing w:val="143"/>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index 8"/>
    <w:basedOn w:val="0"/>
    <w:autoRedefine/>
    <w:next w:val="0"/>
    <w:pPr>
      <w:ind w:left="2940"/>
    </w:pPr>
  </w:style>
  <w:style w:type="paragraph" w:styleId="16">
    <w:name w:val="index 6"/>
    <w:basedOn w:val="0"/>
    <w:autoRedefine/>
    <w:next w:val="0"/>
    <w:pPr>
      <w:ind w:left="2100"/>
    </w:pPr>
  </w:style>
  <w:style w:type="paragraph" w:styleId="17">
    <w:name w:val="index 9"/>
    <w:basedOn w:val="0"/>
    <w:autoRedefine/>
    <w:next w:val="0"/>
    <w:pPr>
      <w:ind w:left="3360"/>
    </w:pPr>
  </w:style>
  <w:style w:type="character" w:styleId="18">
    <w:name w:val="Hyperlink"/>
    <w:basedOn w:val="10"/>
    <w:rPr>
      <w:color w:val="0000FF"/>
      <w:u w:val="single"/>
    </w:rPr>
  </w:style>
  <w:style w:type="paragraph" w:customStyle="1" w:styleId="19">
    <w:name w:val="公式样式 符号"/>
    <w:autoRedefine/>
    <w:rPr>
      <w:rFonts w:ascii="Times New Roman" w:eastAsia="方正兰亭黑_GBK" w:cs="Lucida Sans" w:hAnsi="Times New Roman"/>
      <w:sz w:val="20"/>
      <w:szCs w:val="20"/>
      <w:lang w:val="en-US" w:eastAsia="zh-CN" w:bidi="ar-SA"/>
    </w:rPr>
  </w:style>
  <w:style w:type="paragraph" w:customStyle="1" w:styleId="20">
    <w:name w:val="样式 33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21">
    <w:name w:val="样式 19 小四"/>
    <w:pPr>
      <w:widowControl w:val="0"/>
    </w:pPr>
    <w:rPr>
      <w:rFonts w:ascii="宋体" w:eastAsia="宋体" w:cs="Lucida Sans" w:hAnsi="Times New Roman"/>
      <w:kern w:val="2"/>
      <w:sz w:val="24"/>
      <w:szCs w:val="21"/>
      <w:lang w:val="en-US" w:eastAsia="zh-CN" w:bidi="ar-SA"/>
    </w:rPr>
  </w:style>
  <w:style w:type="paragraph" w:customStyle="1" w:styleId="22">
    <w:name w:val="样式 18 小四"/>
    <w:pPr>
      <w:widowControl w:val="0"/>
    </w:pPr>
    <w:rPr>
      <w:rFonts w:ascii="宋体" w:eastAsia="宋体" w:cs="Lucida Sans" w:hAnsi="Times New Roman"/>
      <w:kern w:val="2"/>
      <w:sz w:val="24"/>
      <w:szCs w:val="21"/>
      <w:lang w:val="en-US" w:eastAsia="zh-CN" w:bidi="ar-SA"/>
    </w:rPr>
  </w:style>
  <w:style w:type="paragraph" w:customStyle="1" w:styleId="23">
    <w:name w:val="样式 17 小四"/>
    <w:pPr>
      <w:widowControl w:val="0"/>
    </w:pPr>
    <w:rPr>
      <w:rFonts w:ascii="宋体" w:eastAsia="宋体" w:cs="Lucida Sans" w:hAnsi="Times New Roman"/>
      <w:kern w:val="2"/>
      <w:sz w:val="24"/>
      <w:szCs w:val="21"/>
      <w:lang w:val="en-US" w:eastAsia="zh-CN" w:bidi="ar-SA"/>
    </w:rPr>
  </w:style>
  <w:style w:type="paragraph" w:customStyle="1" w:styleId="24">
    <w:name w:val="样式 16 小四"/>
    <w:pPr>
      <w:widowControl w:val="0"/>
    </w:pPr>
    <w:rPr>
      <w:rFonts w:ascii="宋体" w:eastAsia="宋体" w:cs="Lucida Sans" w:hAnsi="Times New Roman"/>
      <w:kern w:val="2"/>
      <w:sz w:val="24"/>
      <w:szCs w:val="21"/>
      <w:lang w:val="en-US" w:eastAsia="zh-CN" w:bidi="ar-SA"/>
    </w:rPr>
  </w:style>
  <w:style w:type="paragraph" w:customStyle="1" w:styleId="25">
    <w:name w:val="样式 15 小四"/>
    <w:pPr>
      <w:widowControl w:val="0"/>
    </w:pPr>
    <w:rPr>
      <w:rFonts w:ascii="宋体" w:eastAsia="宋体" w:cs="Lucida Sans" w:hAnsi="Times New Roman"/>
      <w:kern w:val="2"/>
      <w:sz w:val="24"/>
      <w:szCs w:val="21"/>
      <w:lang w:val="en-US" w:eastAsia="zh-CN" w:bidi="ar-SA"/>
    </w:rPr>
  </w:style>
  <w:style w:type="paragraph" w:customStyle="1" w:styleId="26">
    <w:name w:val="样式 14 小四"/>
    <w:pPr>
      <w:widowControl w:val="0"/>
    </w:pPr>
    <w:rPr>
      <w:rFonts w:ascii="宋体" w:eastAsia="宋体" w:cs="Lucida Sans" w:hAnsi="Times New Roman"/>
      <w:kern w:val="2"/>
      <w:sz w:val="24"/>
      <w:szCs w:val="21"/>
      <w:lang w:val="en-US" w:eastAsia="zh-CN" w:bidi="ar-SA"/>
    </w:rPr>
  </w:style>
  <w:style w:type="paragraph" w:customStyle="1" w:styleId="27">
    <w:name w:val="样式 13 小四"/>
    <w:pPr>
      <w:widowControl w:val="0"/>
    </w:pPr>
    <w:rPr>
      <w:rFonts w:ascii="宋体" w:eastAsia="宋体" w:cs="Lucida Sans" w:hAnsi="Times New Roman"/>
      <w:kern w:val="2"/>
      <w:sz w:val="24"/>
      <w:szCs w:val="21"/>
      <w:lang w:val="en-US" w:eastAsia="zh-CN" w:bidi="ar-SA"/>
    </w:rPr>
  </w:style>
  <w:style w:type="paragraph" w:customStyle="1" w:styleId="28">
    <w:name w:val="样式 12 小四"/>
    <w:pPr>
      <w:widowControl w:val="0"/>
    </w:pPr>
    <w:rPr>
      <w:rFonts w:ascii="宋体" w:eastAsia="宋体" w:cs="Lucida Sans" w:hAnsi="Times New Roman"/>
      <w:kern w:val="2"/>
      <w:sz w:val="24"/>
      <w:szCs w:val="21"/>
      <w:lang w:val="en-US" w:eastAsia="zh-CN" w:bidi="ar-SA"/>
    </w:rPr>
  </w:style>
  <w:style w:type="paragraph" w:customStyle="1" w:styleId="29">
    <w:name w:val="样式 11 小四"/>
    <w:pPr>
      <w:widowControl w:val="0"/>
    </w:pPr>
    <w:rPr>
      <w:rFonts w:ascii="宋体" w:eastAsia="宋体" w:cs="Lucida Sans" w:hAnsi="Times New Roman"/>
      <w:kern w:val="2"/>
      <w:sz w:val="24"/>
      <w:szCs w:val="21"/>
      <w:lang w:val="en-US" w:eastAsia="zh-CN" w:bidi="ar-SA"/>
    </w:rPr>
  </w:style>
  <w:style w:type="paragraph" w:customStyle="1" w:styleId="30">
    <w:name w:val="样式 10 小四"/>
    <w:pPr>
      <w:widowControl w:val="0"/>
    </w:pPr>
    <w:rPr>
      <w:rFonts w:ascii="宋体" w:eastAsia="宋体" w:cs="Lucida Sans" w:hAnsi="Times New Roman"/>
      <w:kern w:val="2"/>
      <w:sz w:val="24"/>
      <w:szCs w:val="21"/>
      <w:lang w:val="en-US" w:eastAsia="zh-CN" w:bidi="ar-SA"/>
    </w:rPr>
  </w:style>
  <w:style w:type="paragraph" w:customStyle="1" w:styleId="31">
    <w:name w:val="样式 9 小四"/>
    <w:pPr>
      <w:widowControl w:val="0"/>
    </w:pPr>
    <w:rPr>
      <w:rFonts w:ascii="宋体" w:eastAsia="宋体" w:cs="Lucida Sans" w:hAnsi="Times New Roman"/>
      <w:kern w:val="2"/>
      <w:sz w:val="24"/>
      <w:szCs w:val="21"/>
      <w:lang w:val="en-US" w:eastAsia="zh-CN" w:bidi="ar-SA"/>
    </w:rPr>
  </w:style>
  <w:style w:type="paragraph" w:customStyle="1" w:styleId="32">
    <w:name w:val="样式 8 小四"/>
    <w:pPr>
      <w:widowControl w:val="0"/>
    </w:pPr>
    <w:rPr>
      <w:rFonts w:ascii="宋体" w:eastAsia="宋体" w:cs="Lucida Sans" w:hAnsi="Times New Roman"/>
      <w:kern w:val="2"/>
      <w:sz w:val="24"/>
      <w:szCs w:val="21"/>
      <w:lang w:val="en-US" w:eastAsia="zh-CN" w:bidi="ar-SA"/>
    </w:rPr>
  </w:style>
  <w:style w:type="paragraph" w:customStyle="1" w:styleId="33">
    <w:name w:val="样式 7 小四"/>
    <w:pPr>
      <w:widowControl w:val="0"/>
    </w:pPr>
    <w:rPr>
      <w:rFonts w:ascii="宋体" w:eastAsia="宋体" w:cs="Lucida Sans" w:hAnsi="Times New Roman"/>
      <w:kern w:val="2"/>
      <w:sz w:val="24"/>
      <w:szCs w:val="21"/>
      <w:lang w:val="en-US" w:eastAsia="zh-CN" w:bidi="ar-SA"/>
    </w:rPr>
  </w:style>
  <w:style w:type="paragraph" w:customStyle="1" w:styleId="34">
    <w:name w:val="样式 6 小四"/>
    <w:pPr>
      <w:widowControl w:val="0"/>
    </w:pPr>
    <w:rPr>
      <w:rFonts w:ascii="宋体" w:eastAsia="宋体" w:cs="Lucida Sans" w:hAnsi="Times New Roman"/>
      <w:kern w:val="2"/>
      <w:sz w:val="24"/>
      <w:szCs w:val="21"/>
      <w:lang w:val="en-US" w:eastAsia="zh-CN" w:bidi="ar-SA"/>
    </w:rPr>
  </w:style>
  <w:style w:type="paragraph" w:customStyle="1" w:styleId="35">
    <w:name w:val="样式 5 小四"/>
    <w:pPr>
      <w:widowControl w:val="0"/>
    </w:pPr>
    <w:rPr>
      <w:rFonts w:ascii="宋体" w:eastAsia="宋体" w:cs="Lucida Sans" w:hAnsi="Times New Roman"/>
      <w:kern w:val="2"/>
      <w:sz w:val="24"/>
      <w:szCs w:val="21"/>
      <w:lang w:val="en-US" w:eastAsia="zh-CN" w:bidi="ar-SA"/>
    </w:rPr>
  </w:style>
  <w:style w:type="paragraph" w:customStyle="1" w:styleId="36">
    <w:name w:val="样式 3 小四"/>
    <w:pPr>
      <w:widowControl w:val="0"/>
    </w:pPr>
    <w:rPr>
      <w:rFonts w:ascii="宋体" w:eastAsia="宋体" w:cs="Lucida Sans" w:hAnsi="Times New Roman"/>
      <w:kern w:val="2"/>
      <w:sz w:val="24"/>
      <w:szCs w:val="21"/>
      <w:lang w:val="en-US" w:eastAsia="zh-CN" w:bidi="ar-SA"/>
    </w:rPr>
  </w:style>
  <w:style w:type="paragraph" w:customStyle="1" w:styleId="37">
    <w:name w:val="样式 二号"/>
    <w:pPr>
      <w:widowControl w:val="0"/>
      <w:jc w:val="both"/>
    </w:pPr>
    <w:rPr>
      <w:rFonts w:ascii="Times New Roman" w:eastAsia="仿宋_GB2312" w:cs="Times New Roman" w:hAnsi="Times New Roman"/>
      <w:kern w:val="2"/>
      <w:sz w:val="44"/>
      <w:szCs w:val="44"/>
      <w:lang w:val="en-US" w:eastAsia="zh-CN" w:bidi="ar-SA"/>
    </w:rPr>
  </w:style>
  <w:style w:type="paragraph" w:customStyle="1" w:styleId="38">
    <w:name w:val="样式 1 二号"/>
    <w:pPr>
      <w:widowControl w:val="0"/>
      <w:jc w:val="both"/>
    </w:pPr>
    <w:rPr>
      <w:rFonts w:ascii="Times New Roman" w:eastAsia="仿宋_GB2312" w:cs="Times New Roman" w:hAnsi="Times New Roman"/>
      <w:kern w:val="2"/>
      <w:sz w:val="44"/>
      <w:szCs w:val="44"/>
      <w:lang w:val="en-US" w:eastAsia="zh-CN" w:bidi="ar-SA"/>
    </w:rPr>
  </w:style>
  <w:style w:type="paragraph" w:customStyle="1" w:styleId="39">
    <w:name w:val="样式 2 二号"/>
    <w:pPr>
      <w:widowControl w:val="0"/>
      <w:jc w:val="both"/>
    </w:pPr>
    <w:rPr>
      <w:rFonts w:ascii="Times New Roman" w:eastAsia="仿宋_GB2312" w:cs="Times New Roman" w:hAnsi="Times New Roman"/>
      <w:kern w:val="2"/>
      <w:sz w:val="44"/>
      <w:szCs w:val="44"/>
      <w:lang w:val="en-US" w:eastAsia="zh-CN" w:bidi="ar-SA"/>
    </w:rPr>
  </w:style>
  <w:style w:type="paragraph" w:customStyle="1" w:styleId="40">
    <w:name w:val="样式 2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41">
    <w:name w:val="样式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42">
    <w:name w:val="样式 小四"/>
    <w:pPr>
      <w:widowControl w:val="0"/>
    </w:pPr>
    <w:rPr>
      <w:rFonts w:ascii="宋体" w:eastAsia="宋体" w:cs="Lucida Sans" w:hAnsi="Times New Roman"/>
      <w:kern w:val="2"/>
      <w:sz w:val="24"/>
      <w:szCs w:val="21"/>
      <w:lang w:val="en-US" w:eastAsia="zh-CN" w:bidi="ar-SA"/>
    </w:rPr>
  </w:style>
  <w:style w:type="paragraph" w:customStyle="1" w:styleId="43">
    <w:name w:val="样式 1 三号"/>
    <w:pPr>
      <w:widowControl w:val="0"/>
      <w:jc w:val="both"/>
    </w:pPr>
    <w:rPr>
      <w:rFonts w:ascii="Times New Roman" w:eastAsia="仿宋_GB2312" w:cs="Times New Roman" w:hAnsi="Times New Roman"/>
      <w:kern w:val="2"/>
      <w:sz w:val="32"/>
      <w:szCs w:val="32"/>
      <w:lang w:val="en-US" w:eastAsia="zh-CN" w:bidi="ar-SA"/>
    </w:rPr>
  </w:style>
  <w:style w:type="paragraph" w:customStyle="1" w:styleId="44">
    <w:name w:val="样式 1 小四"/>
    <w:pPr>
      <w:widowControl w:val="0"/>
    </w:pPr>
    <w:rPr>
      <w:rFonts w:ascii="宋体" w:eastAsia="宋体" w:cs="Lucida Sans" w:hAnsi="Times New Roman"/>
      <w:kern w:val="2"/>
      <w:sz w:val="24"/>
      <w:szCs w:val="21"/>
      <w:lang w:val="en-US" w:eastAsia="zh-CN" w:bidi="ar-SA"/>
    </w:rPr>
  </w:style>
  <w:style w:type="paragraph" w:customStyle="1" w:styleId="45">
    <w:name w:val="样式 2 小四"/>
    <w:pPr>
      <w:widowControl w:val="0"/>
    </w:pPr>
    <w:rPr>
      <w:rFonts w:ascii="宋体" w:eastAsia="宋体" w:cs="Lucida Sans" w:hAnsi="Times New Roman"/>
      <w:kern w:val="2"/>
      <w:sz w:val="24"/>
      <w:szCs w:val="21"/>
      <w:lang w:val="en-US" w:eastAsia="zh-CN" w:bidi="ar-SA"/>
    </w:rPr>
  </w:style>
  <w:style w:type="paragraph" w:customStyle="1" w:styleId="46">
    <w:name w:val="样式 4 小四"/>
    <w:pPr>
      <w:widowControl w:val="0"/>
    </w:pPr>
    <w:rPr>
      <w:rFonts w:ascii="宋体" w:eastAsia="宋体" w:cs="Lucida Sans" w:hAnsi="Times New Roman"/>
      <w:kern w:val="2"/>
      <w:sz w:val="24"/>
      <w:szCs w:val="21"/>
      <w:lang w:val="en-US" w:eastAsia="zh-CN" w:bidi="ar-SA"/>
    </w:rPr>
  </w:style>
  <w:style w:type="paragraph" w:customStyle="1" w:styleId="47">
    <w:name w:val="样式 20 小四"/>
    <w:pPr>
      <w:widowControl w:val="0"/>
    </w:pPr>
    <w:rPr>
      <w:rFonts w:ascii="宋体" w:eastAsia="宋体" w:cs="Lucida Sans" w:hAnsi="Times New Roman"/>
      <w:kern w:val="2"/>
      <w:sz w:val="24"/>
      <w:szCs w:val="21"/>
      <w:lang w:val="en-US" w:eastAsia="zh-CN" w:bidi="ar-SA"/>
    </w:rPr>
  </w:style>
  <w:style w:type="paragraph" w:styleId="48">
    <w:name w:val="annotation text"/>
    <w:basedOn w:val="0"/>
    <w:pPr>
      <w:widowControl w:val="0"/>
      <w:jc w:val="left"/>
    </w:pPr>
    <w:rPr>
      <w:rFonts w:ascii="Times New Roman" w:eastAsia="宋体" w:cs="Times New Roman" w:hAnsi="Times New Roman"/>
      <w:kern w:val="2"/>
      <w:sz w:val="21"/>
      <w:szCs w:val="24"/>
      <w:lang w:val="en-US" w:eastAsia="zh-CN" w:bidi="ar-SA"/>
    </w:rPr>
  </w:style>
  <w:style w:type="character" w:styleId="49">
    <w:name w:val="annotation reference"/>
    <w:basedOn w:val="0"/>
    <w:rPr>
      <w:sz w:val="21"/>
      <w:szCs w:val="21"/>
    </w:rPr>
  </w:style>
  <w:style w:type="paragraph" w:styleId="50">
    <w:name w:val="annotation subject"/>
    <w:basedOn w:val="0"/>
    <w:pPr>
      <w:widowControl w:val="0"/>
      <w:jc w:val="left"/>
    </w:pPr>
    <w:rPr>
      <w:rFonts w:ascii="Times New Roman" w:eastAsia="宋体" w:cs="Times New Roman" w:hAnsi="Times New Roman"/>
      <w:b/>
      <w:bCs/>
      <w:kern w:val="2"/>
      <w:sz w:val="21"/>
      <w:szCs w:val="24"/>
      <w:lang w:val="en-US" w:eastAsia="zh-CN" w:bidi="ar-SA"/>
    </w:rPr>
  </w:style>
  <w:style w:type="paragraph" w:customStyle="1" w:styleId="51">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21 小四"/>
    <w:pPr>
      <w:widowControl w:val="0"/>
    </w:pPr>
    <w:rPr>
      <w:rFonts w:ascii="宋体" w:eastAsia="宋体" w:cs="Lucida Sans" w:hAnsi="Times New Roman"/>
      <w:kern w:val="2"/>
      <w:sz w:val="24"/>
      <w:szCs w:val="21"/>
      <w:lang w:val="en-US" w:eastAsia="zh-CN" w:bidi="ar-SA"/>
    </w:rPr>
  </w:style>
  <w:style w:type="paragraph" w:customStyle="1" w:styleId="56">
    <w:name w:val="样式 22 小四"/>
    <w:pPr>
      <w:widowControl w:val="0"/>
    </w:pPr>
    <w:rPr>
      <w:rFonts w:ascii="宋体" w:eastAsia="宋体" w:cs="Lucida Sans" w:hAnsi="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78BA10D9-DFC8-4D4C-8EED-AD97203D80A8}">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252</TotalTime>
  <Application>Yozo_Office27021597764231179</Application>
  <Pages>0</Pages>
  <Words>0</Words>
  <Characters>2799</Characters>
  <Lines>0</Lines>
  <Paragraphs>7</Paragraphs>
  <CharactersWithSpaces>3732</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江鹏</cp:lastModifiedBy>
  <cp:revision>0</cp:revision>
  <dcterms:created xsi:type="dcterms:W3CDTF">2021-05-08T23:28:00Z</dcterms:created>
  <dcterms:modified xsi:type="dcterms:W3CDTF">2026-08-12T00:53:21Z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2052-12.9.0.21590</vt:lpwstr>
  </property>
  <property fmtid="{D5CDD505-2E9C-101B-9397-08002B2CF9AE}" pid="3" name="ICV">
    <vt:lpwstr>187F753B59A48ACA28F3306AF8EDB5AB_43</vt:lpwstr>
  </property>
</Properties>
</file>